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77" w:rsidRDefault="001A5877">
      <w:pPr>
        <w:spacing w:line="200" w:lineRule="exact"/>
        <w:rPr>
          <w:sz w:val="20"/>
          <w:szCs w:val="20"/>
        </w:rPr>
      </w:pPr>
    </w:p>
    <w:p w:rsidR="001A5877" w:rsidRDefault="001A5877">
      <w:pPr>
        <w:spacing w:before="12" w:line="220" w:lineRule="exact"/>
      </w:pPr>
    </w:p>
    <w:p w:rsidR="001A5877" w:rsidRDefault="00493508">
      <w:pPr>
        <w:spacing w:before="46"/>
        <w:ind w:left="1743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927100</wp:posOffset>
            </wp:positionH>
            <wp:positionV relativeFrom="paragraph">
              <wp:posOffset>-209550</wp:posOffset>
            </wp:positionV>
            <wp:extent cx="1053465" cy="93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658A6"/>
          <w:spacing w:val="-39"/>
          <w:sz w:val="42"/>
          <w:szCs w:val="42"/>
        </w:rPr>
        <w:t>V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eterans</w:t>
      </w:r>
      <w:r>
        <w:rPr>
          <w:rFonts w:ascii="Times New Roman" w:eastAsia="Times New Roman" w:hAnsi="Times New Roman" w:cs="Times New Roman"/>
          <w:b/>
          <w:bCs/>
          <w:color w:val="0658A6"/>
          <w:spacing w:val="-1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of</w:t>
      </w:r>
      <w:r>
        <w:rPr>
          <w:rFonts w:ascii="Times New Roman" w:eastAsia="Times New Roman" w:hAnsi="Times New Roman" w:cs="Times New Roman"/>
          <w:b/>
          <w:bCs/>
          <w:color w:val="0658A6"/>
          <w:spacing w:val="-1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Fo</w:t>
      </w:r>
      <w:r>
        <w:rPr>
          <w:rFonts w:ascii="Times New Roman" w:eastAsia="Times New Roman" w:hAnsi="Times New Roman" w:cs="Times New Roman"/>
          <w:b/>
          <w:bCs/>
          <w:color w:val="0658A6"/>
          <w:spacing w:val="-9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eign</w:t>
      </w:r>
      <w:r>
        <w:rPr>
          <w:rFonts w:ascii="Times New Roman" w:eastAsia="Times New Roman" w:hAnsi="Times New Roman" w:cs="Times New Roman"/>
          <w:b/>
          <w:bCs/>
          <w:color w:val="0658A6"/>
          <w:spacing w:val="-18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58A6"/>
          <w:spacing w:val="-24"/>
          <w:sz w:val="42"/>
          <w:szCs w:val="42"/>
        </w:rPr>
        <w:t>W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ars</w:t>
      </w:r>
      <w:r>
        <w:rPr>
          <w:rFonts w:ascii="Times New Roman" w:eastAsia="Times New Roman" w:hAnsi="Times New Roman" w:cs="Times New Roman"/>
          <w:b/>
          <w:bCs/>
          <w:color w:val="0658A6"/>
          <w:spacing w:val="-1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Ohio</w:t>
      </w:r>
      <w:r>
        <w:rPr>
          <w:rFonts w:ascii="Times New Roman" w:eastAsia="Times New Roman" w:hAnsi="Times New Roman" w:cs="Times New Roman"/>
          <w:b/>
          <w:bCs/>
          <w:color w:val="0658A6"/>
          <w:spacing w:val="-1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Charities</w:t>
      </w:r>
    </w:p>
    <w:p w:rsidR="001A5877" w:rsidRDefault="00493508">
      <w:pPr>
        <w:spacing w:before="90"/>
        <w:ind w:left="18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658A6"/>
          <w:sz w:val="32"/>
          <w:szCs w:val="32"/>
        </w:rPr>
        <w:t>Serving</w:t>
      </w:r>
      <w:r>
        <w:rPr>
          <w:rFonts w:ascii="Times New Roman" w:eastAsia="Times New Roman" w:hAnsi="Times New Roman" w:cs="Times New Roman"/>
          <w:b/>
          <w:bCs/>
          <w:i/>
          <w:color w:val="0658A6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658A6"/>
          <w:sz w:val="32"/>
          <w:szCs w:val="32"/>
        </w:rPr>
        <w:t>Ohio</w:t>
      </w:r>
      <w:r>
        <w:rPr>
          <w:rFonts w:ascii="Times New Roman" w:eastAsia="Times New Roman" w:hAnsi="Times New Roman" w:cs="Times New Roman"/>
          <w:b/>
          <w:bCs/>
          <w:i/>
          <w:color w:val="0658A6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658A6"/>
          <w:spacing w:val="-37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658A6"/>
          <w:sz w:val="32"/>
          <w:szCs w:val="32"/>
        </w:rPr>
        <w:t>eterans</w:t>
      </w:r>
      <w:r>
        <w:rPr>
          <w:rFonts w:ascii="Times New Roman" w:eastAsia="Times New Roman" w:hAnsi="Times New Roman" w:cs="Times New Roman"/>
          <w:b/>
          <w:bCs/>
          <w:i/>
          <w:color w:val="0658A6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658A6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i/>
          <w:color w:val="0658A6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658A6"/>
          <w:sz w:val="32"/>
          <w:szCs w:val="32"/>
        </w:rPr>
        <w:t>Their</w:t>
      </w:r>
      <w:r>
        <w:rPr>
          <w:rFonts w:ascii="Times New Roman" w:eastAsia="Times New Roman" w:hAnsi="Times New Roman" w:cs="Times New Roman"/>
          <w:b/>
          <w:bCs/>
          <w:i/>
          <w:color w:val="0658A6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658A6"/>
          <w:sz w:val="32"/>
          <w:szCs w:val="32"/>
        </w:rPr>
        <w:t>Families</w:t>
      </w:r>
    </w:p>
    <w:p w:rsidR="001A5877" w:rsidRDefault="001A5877">
      <w:pPr>
        <w:spacing w:before="9" w:line="140" w:lineRule="exact"/>
        <w:rPr>
          <w:sz w:val="14"/>
          <w:szCs w:val="14"/>
        </w:rPr>
      </w:pPr>
    </w:p>
    <w:p w:rsidR="001A5877" w:rsidRDefault="001A5877">
      <w:pPr>
        <w:spacing w:line="200" w:lineRule="exact"/>
        <w:rPr>
          <w:sz w:val="20"/>
          <w:szCs w:val="20"/>
        </w:rPr>
      </w:pPr>
    </w:p>
    <w:p w:rsidR="001A5877" w:rsidRDefault="001A5877">
      <w:pPr>
        <w:spacing w:line="200" w:lineRule="exact"/>
        <w:rPr>
          <w:sz w:val="20"/>
          <w:szCs w:val="20"/>
        </w:rPr>
      </w:pPr>
    </w:p>
    <w:p w:rsidR="00A91284" w:rsidRDefault="00A91284" w:rsidP="00C23959">
      <w:pPr>
        <w:rPr>
          <w:sz w:val="28"/>
          <w:szCs w:val="28"/>
        </w:rPr>
      </w:pPr>
    </w:p>
    <w:p w:rsidR="0059131A" w:rsidRDefault="0059131A" w:rsidP="00940615">
      <w:pPr>
        <w:spacing w:line="200" w:lineRule="exact"/>
        <w:rPr>
          <w:b/>
          <w:sz w:val="36"/>
          <w:szCs w:val="36"/>
          <w:u w:val="single"/>
        </w:rPr>
      </w:pPr>
    </w:p>
    <w:p w:rsidR="00160DA8" w:rsidRPr="00160DA8" w:rsidRDefault="00160DA8" w:rsidP="00160DA8">
      <w:pPr>
        <w:pStyle w:val="ListParagraph"/>
        <w:ind w:left="2160"/>
        <w:rPr>
          <w:sz w:val="24"/>
          <w:szCs w:val="24"/>
        </w:rPr>
      </w:pPr>
    </w:p>
    <w:p w:rsidR="0059131A" w:rsidRDefault="003A2653" w:rsidP="0059131A">
      <w:pPr>
        <w:rPr>
          <w:sz w:val="24"/>
          <w:szCs w:val="24"/>
        </w:rPr>
      </w:pPr>
      <w:r>
        <w:rPr>
          <w:sz w:val="24"/>
          <w:szCs w:val="24"/>
        </w:rPr>
        <w:t>1/30/2023</w:t>
      </w:r>
    </w:p>
    <w:p w:rsidR="003A2653" w:rsidRDefault="003A2653" w:rsidP="0059131A">
      <w:pPr>
        <w:rPr>
          <w:sz w:val="24"/>
          <w:szCs w:val="24"/>
        </w:rPr>
      </w:pPr>
    </w:p>
    <w:p w:rsidR="003A2653" w:rsidRDefault="003A2653" w:rsidP="0059131A">
      <w:pPr>
        <w:rPr>
          <w:sz w:val="24"/>
          <w:szCs w:val="24"/>
        </w:rPr>
      </w:pPr>
    </w:p>
    <w:p w:rsidR="003A2653" w:rsidRDefault="003A2653" w:rsidP="003A26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EXPLANATION OF E-BINGO &amp; TICKET SPLITS</w:t>
      </w:r>
    </w:p>
    <w:p w:rsidR="003A2653" w:rsidRDefault="003A2653" w:rsidP="003A2653">
      <w:pPr>
        <w:jc w:val="center"/>
        <w:rPr>
          <w:b/>
          <w:sz w:val="28"/>
          <w:szCs w:val="28"/>
          <w:u w:val="single"/>
        </w:rPr>
      </w:pPr>
    </w:p>
    <w:p w:rsidR="003A2653" w:rsidRDefault="00B426E8" w:rsidP="000E7D0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E7D03">
        <w:rPr>
          <w:sz w:val="28"/>
          <w:szCs w:val="28"/>
        </w:rPr>
        <w:t>All proceeds from E</w:t>
      </w:r>
      <w:r w:rsidR="002D3F4E" w:rsidRPr="000E7D03">
        <w:rPr>
          <w:sz w:val="28"/>
          <w:szCs w:val="28"/>
        </w:rPr>
        <w:t xml:space="preserve">-Bingo and Tickets will be deposited into a corresponding checking account </w:t>
      </w:r>
    </w:p>
    <w:p w:rsidR="000E7D03" w:rsidRDefault="000E7D03" w:rsidP="000E7D0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E-Bingo monies will be deposited into a checking account titled “E-Bingo”.  Some agents are still using “Raffle” accounts.</w:t>
      </w:r>
    </w:p>
    <w:p w:rsidR="000E7D03" w:rsidRDefault="000E7D03" w:rsidP="000E7D0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Ticket monies (from Type III bingo) should be deposited into a checking account titled “Tickets”, “Bingo” or “Pull Tabs”.  (Type I and Type II Bingo monies should be deposited into checking accounts titled “Type I Bingo” and “Type II Bingo”</w:t>
      </w:r>
      <w:r w:rsidR="00B333C6">
        <w:rPr>
          <w:sz w:val="28"/>
          <w:szCs w:val="28"/>
        </w:rPr>
        <w:t>,</w:t>
      </w:r>
      <w:r>
        <w:rPr>
          <w:sz w:val="28"/>
          <w:szCs w:val="28"/>
        </w:rPr>
        <w:t xml:space="preserve"> if these </w:t>
      </w:r>
      <w:proofErr w:type="gramStart"/>
      <w:r>
        <w:rPr>
          <w:sz w:val="28"/>
          <w:szCs w:val="28"/>
        </w:rPr>
        <w:t>bingo’s</w:t>
      </w:r>
      <w:proofErr w:type="gramEnd"/>
      <w:r>
        <w:rPr>
          <w:sz w:val="28"/>
          <w:szCs w:val="28"/>
        </w:rPr>
        <w:t xml:space="preserve"> are held at your location.)</w:t>
      </w:r>
    </w:p>
    <w:p w:rsidR="000E7D03" w:rsidRDefault="000E7D03" w:rsidP="000E7D03">
      <w:pPr>
        <w:rPr>
          <w:sz w:val="28"/>
          <w:szCs w:val="28"/>
        </w:rPr>
      </w:pPr>
    </w:p>
    <w:p w:rsidR="000E7D03" w:rsidRDefault="000E7D03" w:rsidP="000E7D0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 A MONTHLY BASIS, after all expenses are paid out of each respective account, you will send a check for 25% of the NET proceeds to </w:t>
      </w:r>
      <w:r w:rsidR="00850A90">
        <w:rPr>
          <w:sz w:val="28"/>
          <w:szCs w:val="28"/>
        </w:rPr>
        <w:t>your charity.  For the majority of VFW Posts that charity is VFW Ohio Charities.</w:t>
      </w:r>
      <w:r w:rsidR="001E17E0">
        <w:rPr>
          <w:sz w:val="28"/>
          <w:szCs w:val="28"/>
        </w:rPr>
        <w:t xml:space="preserve">  </w:t>
      </w:r>
      <w:r w:rsidR="00B333C6">
        <w:rPr>
          <w:sz w:val="28"/>
          <w:szCs w:val="28"/>
        </w:rPr>
        <w:t>Ohio Revised Code (ORC) 2915 requires that any organization conducting charitable gaming donate 25% to a 501</w:t>
      </w:r>
      <w:r w:rsidR="00800A7D">
        <w:rPr>
          <w:sz w:val="28"/>
          <w:szCs w:val="28"/>
        </w:rPr>
        <w:t>(c)</w:t>
      </w:r>
      <w:bookmarkStart w:id="0" w:name="_GoBack"/>
      <w:bookmarkEnd w:id="0"/>
      <w:r w:rsidR="00B333C6">
        <w:rPr>
          <w:sz w:val="28"/>
          <w:szCs w:val="28"/>
        </w:rPr>
        <w:t>3 charity.</w:t>
      </w:r>
      <w:r w:rsidR="00850A90">
        <w:rPr>
          <w:sz w:val="28"/>
          <w:szCs w:val="28"/>
        </w:rPr>
        <w:t xml:space="preserve">  The remaining 75% is to be transferred to your General Fund.</w:t>
      </w:r>
    </w:p>
    <w:p w:rsidR="00850A90" w:rsidRDefault="00850A90" w:rsidP="00850A9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 “Ticket” accounts, the expenses are cost of tickets from the distributor, checking account fees, and any other costs associated with gaming.</w:t>
      </w:r>
    </w:p>
    <w:p w:rsidR="00850A90" w:rsidRDefault="00850A90" w:rsidP="00850A9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 “E-Bingo” accounts the distributors invoice will be paid out of this account</w:t>
      </w:r>
      <w:r w:rsidR="00B333C6">
        <w:rPr>
          <w:sz w:val="28"/>
          <w:szCs w:val="28"/>
        </w:rPr>
        <w:t xml:space="preserve"> along with any banking fees.</w:t>
      </w:r>
    </w:p>
    <w:p w:rsidR="00B333C6" w:rsidRDefault="00B333C6" w:rsidP="00B333C6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cost of a gaming license can be deducted from either account but NOT BOTH.</w:t>
      </w:r>
    </w:p>
    <w:p w:rsidR="00B333C6" w:rsidRDefault="00B333C6" w:rsidP="00B333C6">
      <w:pPr>
        <w:rPr>
          <w:sz w:val="28"/>
          <w:szCs w:val="28"/>
        </w:rPr>
      </w:pPr>
    </w:p>
    <w:p w:rsidR="00B333C6" w:rsidRPr="00B333C6" w:rsidRDefault="00B333C6" w:rsidP="00B333C6">
      <w:pPr>
        <w:rPr>
          <w:sz w:val="28"/>
          <w:szCs w:val="28"/>
        </w:rPr>
      </w:pPr>
      <w:r>
        <w:rPr>
          <w:sz w:val="28"/>
          <w:szCs w:val="28"/>
        </w:rPr>
        <w:t>If you have any questions regarding gaming accounts, splits or allowable expenses, feel free to call our office at 614-222-1611.</w:t>
      </w:r>
    </w:p>
    <w:sectPr w:rsidR="00B333C6" w:rsidRPr="00B333C6">
      <w:footerReference w:type="default" r:id="rId8"/>
      <w:type w:val="continuous"/>
      <w:pgSz w:w="12240" w:h="15840"/>
      <w:pgMar w:top="560" w:right="16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E0" w:rsidRDefault="001E17E0" w:rsidP="00940615">
      <w:r>
        <w:separator/>
      </w:r>
    </w:p>
  </w:endnote>
  <w:endnote w:type="continuationSeparator" w:id="0">
    <w:p w:rsidR="001E17E0" w:rsidRDefault="001E17E0" w:rsidP="0094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E0" w:rsidRPr="00940615" w:rsidRDefault="001E17E0" w:rsidP="00715051">
    <w:pPr>
      <w:pStyle w:val="Footer"/>
      <w:jc w:val="center"/>
      <w:rPr>
        <w:sz w:val="18"/>
        <w:szCs w:val="18"/>
      </w:rPr>
    </w:pPr>
    <w:r w:rsidRPr="00940615">
      <w:rPr>
        <w:color w:val="0658A6"/>
        <w:w w:val="95"/>
        <w:sz w:val="18"/>
        <w:szCs w:val="18"/>
      </w:rPr>
      <w:t>35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East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Chestnut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Street,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Suite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505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•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Columbus,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OH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43215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•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(614)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222-16</w:t>
    </w:r>
    <w:r w:rsidRPr="00940615">
      <w:rPr>
        <w:color w:val="0658A6"/>
        <w:spacing w:val="-9"/>
        <w:w w:val="95"/>
        <w:sz w:val="18"/>
        <w:szCs w:val="18"/>
      </w:rPr>
      <w:t>1</w:t>
    </w:r>
    <w:r w:rsidRPr="00940615">
      <w:rPr>
        <w:color w:val="0658A6"/>
        <w:w w:val="95"/>
        <w:sz w:val="18"/>
        <w:szCs w:val="18"/>
      </w:rPr>
      <w:t>1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•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Fax: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(614)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222-1602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•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ww</w:t>
    </w:r>
    <w:r w:rsidRPr="00940615">
      <w:rPr>
        <w:color w:val="0658A6"/>
        <w:spacing w:val="-7"/>
        <w:w w:val="95"/>
        <w:sz w:val="18"/>
        <w:szCs w:val="18"/>
      </w:rPr>
      <w:t>w</w:t>
    </w:r>
    <w:r w:rsidRPr="00940615">
      <w:rPr>
        <w:color w:val="0658A6"/>
        <w:w w:val="95"/>
        <w:sz w:val="18"/>
        <w:szCs w:val="18"/>
      </w:rPr>
      <w:t>.vfwohiocharities.com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E0" w:rsidRDefault="001E17E0" w:rsidP="00940615">
      <w:r>
        <w:separator/>
      </w:r>
    </w:p>
  </w:footnote>
  <w:footnote w:type="continuationSeparator" w:id="0">
    <w:p w:rsidR="001E17E0" w:rsidRDefault="001E17E0" w:rsidP="0094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937"/>
    <w:multiLevelType w:val="hybridMultilevel"/>
    <w:tmpl w:val="E956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5F6A"/>
    <w:multiLevelType w:val="hybridMultilevel"/>
    <w:tmpl w:val="CD885EF8"/>
    <w:lvl w:ilvl="0" w:tplc="0A7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324"/>
    <w:multiLevelType w:val="hybridMultilevel"/>
    <w:tmpl w:val="AF84F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A182A"/>
    <w:multiLevelType w:val="hybridMultilevel"/>
    <w:tmpl w:val="828EE7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77"/>
    <w:rsid w:val="000E7D03"/>
    <w:rsid w:val="00160DA8"/>
    <w:rsid w:val="001A5877"/>
    <w:rsid w:val="001E17E0"/>
    <w:rsid w:val="002D3F4E"/>
    <w:rsid w:val="00337220"/>
    <w:rsid w:val="003A2653"/>
    <w:rsid w:val="00493508"/>
    <w:rsid w:val="0059131A"/>
    <w:rsid w:val="006221D1"/>
    <w:rsid w:val="00715051"/>
    <w:rsid w:val="00800A7D"/>
    <w:rsid w:val="00850A90"/>
    <w:rsid w:val="00940615"/>
    <w:rsid w:val="009D77CC"/>
    <w:rsid w:val="00A91284"/>
    <w:rsid w:val="00B333C6"/>
    <w:rsid w:val="00B426E8"/>
    <w:rsid w:val="00C23959"/>
    <w:rsid w:val="00C4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7D335D"/>
  <w15:docId w15:val="{05B06071-206A-4ECB-8DE3-9A229E5C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307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0B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615"/>
  </w:style>
  <w:style w:type="paragraph" w:styleId="Footer">
    <w:name w:val="footer"/>
    <w:basedOn w:val="Normal"/>
    <w:link w:val="FooterChar"/>
    <w:uiPriority w:val="99"/>
    <w:unhideWhenUsed/>
    <w:rsid w:val="00940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Reveron</dc:creator>
  <cp:lastModifiedBy>Suzanne Dountz</cp:lastModifiedBy>
  <cp:revision>3</cp:revision>
  <dcterms:created xsi:type="dcterms:W3CDTF">2023-01-31T14:46:00Z</dcterms:created>
  <dcterms:modified xsi:type="dcterms:W3CDTF">2023-02-02T18:14:00Z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LastSaved">
    <vt:filetime>2019-07-09T00:00:00Z</vt:filetime>
  </property>
</Properties>
</file>